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0F073">
      <w:pPr>
        <w:rPr>
          <w:rFonts w:hint="default"/>
          <w:lang w:val="ru-RU"/>
        </w:rPr>
      </w:pPr>
      <w:r>
        <w:rPr>
          <w:lang w:val="ru-RU"/>
        </w:rPr>
        <w:t>Утверждено</w:t>
      </w:r>
      <w:r>
        <w:rPr>
          <w:rFonts w:hint="default"/>
          <w:lang w:val="ru-RU"/>
        </w:rPr>
        <w:t xml:space="preserve"> на профсоюзном собрании членов профсоюза от 11 февраля 2025 года</w:t>
      </w:r>
    </w:p>
    <w:p w14:paraId="55D0EDFB">
      <w:pPr>
        <w:rPr>
          <w:rFonts w:hint="default"/>
          <w:lang w:val="ru-RU"/>
        </w:rPr>
      </w:pPr>
      <w:r>
        <w:rPr>
          <w:rFonts w:hint="default"/>
          <w:lang w:val="ru-RU"/>
        </w:rPr>
        <w:t>Председатель профсоюзной организации Прокопова Арина Анатольевна</w:t>
      </w:r>
    </w:p>
    <w:p w14:paraId="6AC34B0D">
      <w:pPr>
        <w:rPr>
          <w:rFonts w:hint="default"/>
          <w:lang w:val="ru-RU"/>
        </w:rPr>
      </w:pPr>
    </w:p>
    <w:p w14:paraId="674F0E2D">
      <w:pPr>
        <w:jc w:val="center"/>
        <w:rPr>
          <w:rFonts w:hint="default"/>
          <w:b/>
          <w:bCs/>
          <w:sz w:val="24"/>
          <w:szCs w:val="24"/>
          <w:lang w:val="ru-RU"/>
        </w:rPr>
      </w:pPr>
      <w:bookmarkStart w:id="0" w:name="_GoBack"/>
      <w:r>
        <w:rPr>
          <w:rFonts w:hint="default"/>
          <w:b/>
          <w:bCs/>
          <w:sz w:val="24"/>
          <w:szCs w:val="24"/>
          <w:lang w:val="ru-RU"/>
        </w:rPr>
        <w:t>План работы первичной профсоюзной организации МБДОУ «Д/С №3 «Городок чудес»</w:t>
      </w:r>
    </w:p>
    <w:p w14:paraId="75A22CE6">
      <w:pPr>
        <w:jc w:val="center"/>
        <w:rPr>
          <w:rFonts w:hint="default"/>
          <w:b/>
          <w:bCs/>
          <w:sz w:val="24"/>
          <w:szCs w:val="24"/>
          <w:lang w:val="ru-RU"/>
        </w:rPr>
      </w:pPr>
    </w:p>
    <w:bookmarkEnd w:id="0"/>
    <w:tbl>
      <w:tblPr>
        <w:tblStyle w:val="4"/>
        <w:tblW w:w="162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836"/>
        <w:gridCol w:w="1728"/>
        <w:gridCol w:w="1536"/>
        <w:gridCol w:w="1560"/>
        <w:gridCol w:w="1680"/>
        <w:gridCol w:w="1536"/>
        <w:gridCol w:w="1512"/>
        <w:gridCol w:w="1548"/>
        <w:gridCol w:w="1788"/>
      </w:tblGrid>
      <w:tr w14:paraId="02E0B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0F26F7D6">
            <w:pPr>
              <w:widowControl w:val="0"/>
              <w:jc w:val="center"/>
              <w:rPr>
                <w:rFonts w:hint="default"/>
                <w:vertAlign w:val="baseline"/>
                <w:lang w:val="ru-RU"/>
              </w:rPr>
            </w:pPr>
            <w:r>
              <w:rPr>
                <w:rFonts w:hint="default"/>
                <w:vertAlign w:val="baseline"/>
                <w:lang w:val="ru-RU"/>
              </w:rPr>
              <w:t>Работа комиссий</w:t>
            </w:r>
          </w:p>
        </w:tc>
        <w:tc>
          <w:tcPr>
            <w:tcW w:w="1836" w:type="dxa"/>
          </w:tcPr>
          <w:p w14:paraId="4EB4419D">
            <w:pPr>
              <w:widowControl w:val="0"/>
              <w:jc w:val="center"/>
              <w:rPr>
                <w:rFonts w:hint="default"/>
                <w:vertAlign w:val="baseline"/>
                <w:lang w:val="ru-RU"/>
              </w:rPr>
            </w:pPr>
            <w:r>
              <w:rPr>
                <w:rFonts w:hint="default"/>
                <w:vertAlign w:val="baseline"/>
                <w:lang w:val="ru-RU"/>
              </w:rPr>
              <w:t>январь</w:t>
            </w:r>
          </w:p>
        </w:tc>
        <w:tc>
          <w:tcPr>
            <w:tcW w:w="1728" w:type="dxa"/>
          </w:tcPr>
          <w:p w14:paraId="02CF79DC">
            <w:pPr>
              <w:widowControl w:val="0"/>
              <w:jc w:val="center"/>
              <w:rPr>
                <w:rFonts w:hint="default"/>
                <w:vertAlign w:val="baseline"/>
                <w:lang w:val="ru-RU"/>
              </w:rPr>
            </w:pPr>
            <w:r>
              <w:rPr>
                <w:rFonts w:hint="default"/>
                <w:vertAlign w:val="baseline"/>
                <w:lang w:val="ru-RU"/>
              </w:rPr>
              <w:t>февраль</w:t>
            </w:r>
          </w:p>
        </w:tc>
        <w:tc>
          <w:tcPr>
            <w:tcW w:w="1536" w:type="dxa"/>
          </w:tcPr>
          <w:p w14:paraId="7D299ECD">
            <w:pPr>
              <w:widowControl w:val="0"/>
              <w:jc w:val="center"/>
              <w:rPr>
                <w:rFonts w:hint="default"/>
                <w:vertAlign w:val="baseline"/>
                <w:lang w:val="ru-RU"/>
              </w:rPr>
            </w:pPr>
            <w:r>
              <w:rPr>
                <w:rFonts w:hint="default"/>
                <w:vertAlign w:val="baseline"/>
                <w:lang w:val="ru-RU"/>
              </w:rPr>
              <w:t>март</w:t>
            </w:r>
          </w:p>
        </w:tc>
        <w:tc>
          <w:tcPr>
            <w:tcW w:w="1560" w:type="dxa"/>
          </w:tcPr>
          <w:p w14:paraId="79C8FF41">
            <w:pPr>
              <w:widowControl w:val="0"/>
              <w:jc w:val="center"/>
              <w:rPr>
                <w:rFonts w:hint="default"/>
                <w:vertAlign w:val="baseline"/>
                <w:lang w:val="ru-RU"/>
              </w:rPr>
            </w:pPr>
            <w:r>
              <w:rPr>
                <w:rFonts w:hint="default"/>
                <w:vertAlign w:val="baseline"/>
                <w:lang w:val="ru-RU"/>
              </w:rPr>
              <w:t>апрель</w:t>
            </w:r>
          </w:p>
        </w:tc>
        <w:tc>
          <w:tcPr>
            <w:tcW w:w="1680" w:type="dxa"/>
          </w:tcPr>
          <w:p w14:paraId="4BDE5A2E">
            <w:pPr>
              <w:widowControl w:val="0"/>
              <w:jc w:val="center"/>
              <w:rPr>
                <w:rFonts w:hint="default"/>
                <w:vertAlign w:val="baseline"/>
                <w:lang w:val="ru-RU"/>
              </w:rPr>
            </w:pPr>
            <w:r>
              <w:rPr>
                <w:rFonts w:hint="default"/>
                <w:vertAlign w:val="baseline"/>
                <w:lang w:val="ru-RU"/>
              </w:rPr>
              <w:t>май</w:t>
            </w:r>
          </w:p>
        </w:tc>
        <w:tc>
          <w:tcPr>
            <w:tcW w:w="1536" w:type="dxa"/>
          </w:tcPr>
          <w:p w14:paraId="6F1DE7CB">
            <w:pPr>
              <w:widowControl w:val="0"/>
              <w:jc w:val="center"/>
              <w:rPr>
                <w:rFonts w:hint="default"/>
                <w:vertAlign w:val="baseline"/>
                <w:lang w:val="ru-RU"/>
              </w:rPr>
            </w:pPr>
            <w:r>
              <w:rPr>
                <w:rFonts w:hint="default"/>
                <w:vertAlign w:val="baseline"/>
                <w:lang w:val="ru-RU"/>
              </w:rPr>
              <w:t>сентябрь</w:t>
            </w:r>
          </w:p>
        </w:tc>
        <w:tc>
          <w:tcPr>
            <w:tcW w:w="1512" w:type="dxa"/>
          </w:tcPr>
          <w:p w14:paraId="25B16C31">
            <w:pPr>
              <w:widowControl w:val="0"/>
              <w:jc w:val="center"/>
              <w:rPr>
                <w:rFonts w:hint="default"/>
                <w:vertAlign w:val="baseline"/>
                <w:lang w:val="ru-RU"/>
              </w:rPr>
            </w:pPr>
            <w:r>
              <w:rPr>
                <w:rFonts w:hint="default"/>
                <w:vertAlign w:val="baseline"/>
                <w:lang w:val="ru-RU"/>
              </w:rPr>
              <w:t>октябрь</w:t>
            </w:r>
          </w:p>
        </w:tc>
        <w:tc>
          <w:tcPr>
            <w:tcW w:w="1548" w:type="dxa"/>
          </w:tcPr>
          <w:p w14:paraId="68F138FD">
            <w:pPr>
              <w:widowControl w:val="0"/>
              <w:jc w:val="center"/>
              <w:rPr>
                <w:rFonts w:hint="default"/>
                <w:vertAlign w:val="baseline"/>
                <w:lang w:val="ru-RU"/>
              </w:rPr>
            </w:pPr>
            <w:r>
              <w:rPr>
                <w:rFonts w:hint="default"/>
                <w:vertAlign w:val="baseline"/>
                <w:lang w:val="ru-RU"/>
              </w:rPr>
              <w:t>ноябрь</w:t>
            </w:r>
          </w:p>
        </w:tc>
        <w:tc>
          <w:tcPr>
            <w:tcW w:w="1788" w:type="dxa"/>
          </w:tcPr>
          <w:p w14:paraId="0A902147">
            <w:pPr>
              <w:widowControl w:val="0"/>
              <w:jc w:val="center"/>
              <w:rPr>
                <w:rFonts w:hint="default"/>
                <w:vertAlign w:val="baseline"/>
                <w:lang w:val="ru-RU"/>
              </w:rPr>
            </w:pPr>
            <w:r>
              <w:rPr>
                <w:rFonts w:hint="default"/>
                <w:vertAlign w:val="baseline"/>
                <w:lang w:val="ru-RU"/>
              </w:rPr>
              <w:t>декабрь</w:t>
            </w:r>
          </w:p>
        </w:tc>
      </w:tr>
      <w:tr w14:paraId="16DB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41C29D46">
            <w:pPr>
              <w:widowControl w:val="0"/>
              <w:jc w:val="left"/>
              <w:rPr>
                <w:rFonts w:hint="default"/>
                <w:vertAlign w:val="baseline"/>
                <w:lang w:val="ru-RU"/>
              </w:rPr>
            </w:pPr>
            <w:r>
              <w:rPr>
                <w:rFonts w:hint="default"/>
                <w:vertAlign w:val="baseline"/>
                <w:lang w:val="ru-RU"/>
              </w:rPr>
              <w:t>Профсоюзные собрания</w:t>
            </w:r>
          </w:p>
        </w:tc>
        <w:tc>
          <w:tcPr>
            <w:tcW w:w="1836" w:type="dxa"/>
          </w:tcPr>
          <w:p w14:paraId="24ECC0AA">
            <w:pPr>
              <w:widowControl w:val="0"/>
              <w:jc w:val="both"/>
              <w:rPr>
                <w:rFonts w:hint="default"/>
                <w:vertAlign w:val="baseline"/>
                <w:lang w:val="ru-RU"/>
              </w:rPr>
            </w:pPr>
          </w:p>
        </w:tc>
        <w:tc>
          <w:tcPr>
            <w:tcW w:w="1728" w:type="dxa"/>
          </w:tcPr>
          <w:p w14:paraId="0B4C6A30">
            <w:pPr>
              <w:widowControl w:val="0"/>
              <w:jc w:val="both"/>
              <w:rPr>
                <w:rFonts w:hint="default"/>
                <w:vertAlign w:val="baseline"/>
                <w:lang w:val="ru-RU"/>
              </w:rPr>
            </w:pPr>
            <w:r>
              <w:rPr>
                <w:rFonts w:hint="default"/>
                <w:vertAlign w:val="baseline"/>
                <w:lang w:val="ru-RU"/>
              </w:rPr>
              <w:t>Публичный отчёт председателя профкома Прокоповой А.А. о деятельности первичной профсоюзной организации за 2024 год</w:t>
            </w:r>
          </w:p>
        </w:tc>
        <w:tc>
          <w:tcPr>
            <w:tcW w:w="1536" w:type="dxa"/>
          </w:tcPr>
          <w:p w14:paraId="1CF55DE8">
            <w:pPr>
              <w:widowControl w:val="0"/>
              <w:jc w:val="both"/>
              <w:rPr>
                <w:rFonts w:hint="default"/>
                <w:vertAlign w:val="baseline"/>
                <w:lang w:val="ru-RU"/>
              </w:rPr>
            </w:pPr>
          </w:p>
        </w:tc>
        <w:tc>
          <w:tcPr>
            <w:tcW w:w="1560" w:type="dxa"/>
          </w:tcPr>
          <w:p w14:paraId="3CD6FACE">
            <w:pPr>
              <w:widowControl w:val="0"/>
              <w:jc w:val="both"/>
              <w:rPr>
                <w:rFonts w:hint="default"/>
                <w:vertAlign w:val="baseline"/>
                <w:lang w:val="ru-RU"/>
              </w:rPr>
            </w:pPr>
          </w:p>
        </w:tc>
        <w:tc>
          <w:tcPr>
            <w:tcW w:w="1680" w:type="dxa"/>
          </w:tcPr>
          <w:p w14:paraId="58838FE1">
            <w:pPr>
              <w:widowControl w:val="0"/>
              <w:jc w:val="both"/>
              <w:rPr>
                <w:rFonts w:hint="default"/>
                <w:vertAlign w:val="baseline"/>
                <w:lang w:val="ru-RU"/>
              </w:rPr>
            </w:pPr>
          </w:p>
        </w:tc>
        <w:tc>
          <w:tcPr>
            <w:tcW w:w="1536" w:type="dxa"/>
          </w:tcPr>
          <w:p w14:paraId="62034A99">
            <w:pPr>
              <w:widowControl w:val="0"/>
              <w:jc w:val="both"/>
              <w:rPr>
                <w:rFonts w:hint="default"/>
                <w:vertAlign w:val="baseline"/>
                <w:lang w:val="ru-RU"/>
              </w:rPr>
            </w:pPr>
            <w:r>
              <w:rPr>
                <w:rFonts w:hint="default"/>
                <w:vertAlign w:val="baseline"/>
                <w:lang w:val="ru-RU"/>
              </w:rPr>
              <w:t>Провести профсоюзное собрание с членами профсоюза</w:t>
            </w:r>
          </w:p>
        </w:tc>
        <w:tc>
          <w:tcPr>
            <w:tcW w:w="1512" w:type="dxa"/>
          </w:tcPr>
          <w:p w14:paraId="584B79EB">
            <w:pPr>
              <w:widowControl w:val="0"/>
              <w:jc w:val="both"/>
              <w:rPr>
                <w:rFonts w:hint="default"/>
                <w:vertAlign w:val="baseline"/>
                <w:lang w:val="ru-RU"/>
              </w:rPr>
            </w:pPr>
          </w:p>
        </w:tc>
        <w:tc>
          <w:tcPr>
            <w:tcW w:w="1548" w:type="dxa"/>
          </w:tcPr>
          <w:p w14:paraId="377E29B3">
            <w:pPr>
              <w:widowControl w:val="0"/>
              <w:jc w:val="both"/>
              <w:rPr>
                <w:rFonts w:hint="default"/>
                <w:vertAlign w:val="baseline"/>
                <w:lang w:val="ru-RU"/>
              </w:rPr>
            </w:pPr>
          </w:p>
        </w:tc>
        <w:tc>
          <w:tcPr>
            <w:tcW w:w="1788" w:type="dxa"/>
          </w:tcPr>
          <w:p w14:paraId="704AA124">
            <w:pPr>
              <w:widowControl w:val="0"/>
              <w:jc w:val="both"/>
              <w:rPr>
                <w:rFonts w:hint="default"/>
                <w:vertAlign w:val="baseline"/>
                <w:lang w:val="ru-RU"/>
              </w:rPr>
            </w:pPr>
          </w:p>
        </w:tc>
      </w:tr>
      <w:tr w14:paraId="58146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497" w:type="dxa"/>
            <w:vMerge w:val="restart"/>
          </w:tcPr>
          <w:p w14:paraId="2BB2B3CA">
            <w:pPr>
              <w:widowControl w:val="0"/>
              <w:jc w:val="left"/>
              <w:rPr>
                <w:rFonts w:hint="default"/>
                <w:vertAlign w:val="baseline"/>
                <w:lang w:val="ru-RU"/>
              </w:rPr>
            </w:pPr>
            <w:r>
              <w:rPr>
                <w:rFonts w:hint="default"/>
                <w:vertAlign w:val="baseline"/>
                <w:lang w:val="ru-RU"/>
              </w:rPr>
              <w:t>Заседания профсоюзного кабинета</w:t>
            </w:r>
          </w:p>
        </w:tc>
        <w:tc>
          <w:tcPr>
            <w:tcW w:w="1836" w:type="dxa"/>
          </w:tcPr>
          <w:p w14:paraId="0863C64B">
            <w:pPr>
              <w:widowControl w:val="0"/>
              <w:jc w:val="both"/>
              <w:rPr>
                <w:rFonts w:hint="default"/>
                <w:vertAlign w:val="baseline"/>
                <w:lang w:val="ru-RU"/>
              </w:rPr>
            </w:pPr>
          </w:p>
        </w:tc>
        <w:tc>
          <w:tcPr>
            <w:tcW w:w="1728" w:type="dxa"/>
          </w:tcPr>
          <w:p w14:paraId="003C47FA">
            <w:pPr>
              <w:widowControl w:val="0"/>
              <w:jc w:val="both"/>
              <w:rPr>
                <w:rFonts w:hint="default"/>
                <w:vertAlign w:val="baseline"/>
                <w:lang w:val="ru-RU"/>
              </w:rPr>
            </w:pPr>
            <w:r>
              <w:rPr>
                <w:rFonts w:hint="default"/>
                <w:vertAlign w:val="baseline"/>
                <w:lang w:val="ru-RU"/>
              </w:rPr>
              <w:t>Утверждение плана работы ППО на 2025 год. Утверждение сметы доходов и расходов профсоюзного бюджета на 2025 год</w:t>
            </w:r>
          </w:p>
        </w:tc>
        <w:tc>
          <w:tcPr>
            <w:tcW w:w="1536" w:type="dxa"/>
          </w:tcPr>
          <w:p w14:paraId="237052E1">
            <w:pPr>
              <w:widowControl w:val="0"/>
              <w:jc w:val="both"/>
              <w:rPr>
                <w:rFonts w:hint="default"/>
                <w:vertAlign w:val="baseline"/>
                <w:lang w:val="ru-RU"/>
              </w:rPr>
            </w:pPr>
          </w:p>
        </w:tc>
        <w:tc>
          <w:tcPr>
            <w:tcW w:w="1560" w:type="dxa"/>
          </w:tcPr>
          <w:p w14:paraId="51B4A065">
            <w:pPr>
              <w:widowControl w:val="0"/>
              <w:jc w:val="both"/>
              <w:rPr>
                <w:rFonts w:hint="default"/>
                <w:vertAlign w:val="baseline"/>
                <w:lang w:val="ru-RU"/>
              </w:rPr>
            </w:pPr>
            <w:r>
              <w:rPr>
                <w:rFonts w:hint="default"/>
                <w:vertAlign w:val="baseline"/>
                <w:lang w:val="ru-RU"/>
              </w:rPr>
              <w:t>О подготовке и проведении Всемирного Дня охраны труда</w:t>
            </w:r>
          </w:p>
        </w:tc>
        <w:tc>
          <w:tcPr>
            <w:tcW w:w="1680" w:type="dxa"/>
          </w:tcPr>
          <w:p w14:paraId="05C0FFE3">
            <w:pPr>
              <w:widowControl w:val="0"/>
              <w:jc w:val="both"/>
              <w:rPr>
                <w:rFonts w:hint="default"/>
                <w:vertAlign w:val="baseline"/>
                <w:lang w:val="ru-RU"/>
              </w:rPr>
            </w:pPr>
          </w:p>
        </w:tc>
        <w:tc>
          <w:tcPr>
            <w:tcW w:w="1536" w:type="dxa"/>
          </w:tcPr>
          <w:p w14:paraId="4B5988C0">
            <w:pPr>
              <w:widowControl w:val="0"/>
              <w:jc w:val="both"/>
              <w:rPr>
                <w:rFonts w:hint="default"/>
                <w:vertAlign w:val="baseline"/>
                <w:lang w:val="ru-RU"/>
              </w:rPr>
            </w:pPr>
            <w:r>
              <w:rPr>
                <w:rFonts w:hint="default"/>
                <w:vertAlign w:val="baseline"/>
                <w:lang w:val="ru-RU"/>
              </w:rPr>
              <w:t>Организация и проведение Профсоюзной недели в рамках мероприятий, посвящённых Дню Профсоюзов Республики Татарстан</w:t>
            </w:r>
          </w:p>
        </w:tc>
        <w:tc>
          <w:tcPr>
            <w:tcW w:w="1512" w:type="dxa"/>
          </w:tcPr>
          <w:p w14:paraId="6CFB0A10">
            <w:pPr>
              <w:widowControl w:val="0"/>
              <w:jc w:val="both"/>
              <w:rPr>
                <w:rFonts w:hint="default"/>
                <w:vertAlign w:val="baseline"/>
                <w:lang w:val="ru-RU"/>
              </w:rPr>
            </w:pPr>
          </w:p>
        </w:tc>
        <w:tc>
          <w:tcPr>
            <w:tcW w:w="1548" w:type="dxa"/>
          </w:tcPr>
          <w:p w14:paraId="0A802A6B">
            <w:pPr>
              <w:widowControl w:val="0"/>
              <w:jc w:val="both"/>
              <w:rPr>
                <w:rFonts w:hint="default"/>
                <w:vertAlign w:val="baseline"/>
                <w:lang w:val="ru-RU"/>
              </w:rPr>
            </w:pPr>
            <w:r>
              <w:rPr>
                <w:rFonts w:hint="default"/>
                <w:vertAlign w:val="baseline"/>
                <w:lang w:val="ru-RU"/>
              </w:rPr>
              <w:t>Проведение итогов мониторинга деятельности первичной профсоюзной организации дошкольного образовательного учреждения за 2025 год</w:t>
            </w:r>
          </w:p>
        </w:tc>
        <w:tc>
          <w:tcPr>
            <w:tcW w:w="1788" w:type="dxa"/>
          </w:tcPr>
          <w:p w14:paraId="789D0C42">
            <w:pPr>
              <w:widowControl w:val="0"/>
              <w:jc w:val="both"/>
              <w:rPr>
                <w:rFonts w:hint="default"/>
                <w:vertAlign w:val="baseline"/>
                <w:lang w:val="ru-RU"/>
              </w:rPr>
            </w:pPr>
            <w:r>
              <w:rPr>
                <w:rFonts w:hint="default"/>
                <w:vertAlign w:val="baseline"/>
                <w:lang w:val="ru-RU"/>
              </w:rPr>
              <w:t xml:space="preserve">Совместно с администрацией рассмотреть график предоставления отпусков сотрудникам МБДОУ на период 2026 года </w:t>
            </w:r>
          </w:p>
        </w:tc>
      </w:tr>
      <w:tr w14:paraId="5385F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61" w:hRule="atLeast"/>
        </w:trPr>
        <w:tc>
          <w:tcPr>
            <w:tcW w:w="1497" w:type="dxa"/>
            <w:vMerge w:val="continue"/>
          </w:tcPr>
          <w:p w14:paraId="19945244">
            <w:pPr>
              <w:widowControl w:val="0"/>
              <w:jc w:val="left"/>
            </w:pPr>
          </w:p>
        </w:tc>
        <w:tc>
          <w:tcPr>
            <w:tcW w:w="14724" w:type="dxa"/>
            <w:gridSpan w:val="9"/>
          </w:tcPr>
          <w:p w14:paraId="5EB5D962">
            <w:pPr>
              <w:widowControl w:val="0"/>
              <w:jc w:val="both"/>
              <w:rPr>
                <w:rFonts w:hint="default"/>
                <w:vertAlign w:val="baseline"/>
                <w:lang w:val="ru-RU"/>
              </w:rPr>
            </w:pPr>
            <w:r>
              <w:rPr>
                <w:rFonts w:hint="default"/>
                <w:vertAlign w:val="baseline"/>
                <w:lang w:val="ru-RU"/>
              </w:rPr>
              <w:t>Утверждение локальных актов, инструкций, принятие Положений, рассмотрение заявлений членов профсоюза об оказании материальной помощи, рассмотрение вопросов об организации мероприятий для сотрудников, рассмотрение нарушений должностных инструкций членами профсоюза ДОУ.</w:t>
            </w:r>
          </w:p>
        </w:tc>
      </w:tr>
      <w:tr w14:paraId="4B026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46A38FBD">
            <w:pPr>
              <w:widowControl w:val="0"/>
              <w:jc w:val="left"/>
              <w:rPr>
                <w:rFonts w:hint="default"/>
                <w:vertAlign w:val="baseline"/>
                <w:lang w:val="ru-RU"/>
              </w:rPr>
            </w:pPr>
            <w:r>
              <w:rPr>
                <w:rFonts w:hint="default"/>
                <w:vertAlign w:val="baseline"/>
                <w:lang w:val="ru-RU"/>
              </w:rPr>
              <w:t>Ревизионная комиссия</w:t>
            </w:r>
          </w:p>
        </w:tc>
        <w:tc>
          <w:tcPr>
            <w:tcW w:w="1836" w:type="dxa"/>
          </w:tcPr>
          <w:p w14:paraId="0DF439D3">
            <w:pPr>
              <w:widowControl w:val="0"/>
              <w:jc w:val="both"/>
              <w:rPr>
                <w:rFonts w:hint="default"/>
                <w:vertAlign w:val="baseline"/>
                <w:lang w:val="ru-RU"/>
              </w:rPr>
            </w:pPr>
            <w:r>
              <w:rPr>
                <w:rFonts w:hint="default"/>
                <w:vertAlign w:val="baseline"/>
                <w:lang w:val="ru-RU"/>
              </w:rPr>
              <w:t>Провести финансовую сверку профсоюзных отчислений и учёт финансовых расходов в первичных профсоюзных организациях</w:t>
            </w:r>
          </w:p>
        </w:tc>
        <w:tc>
          <w:tcPr>
            <w:tcW w:w="1728" w:type="dxa"/>
          </w:tcPr>
          <w:p w14:paraId="1CB78296">
            <w:pPr>
              <w:widowControl w:val="0"/>
              <w:jc w:val="both"/>
              <w:rPr>
                <w:rFonts w:hint="default"/>
                <w:vertAlign w:val="baseline"/>
                <w:lang w:val="ru-RU"/>
              </w:rPr>
            </w:pPr>
          </w:p>
        </w:tc>
        <w:tc>
          <w:tcPr>
            <w:tcW w:w="1536" w:type="dxa"/>
          </w:tcPr>
          <w:p w14:paraId="59EB0C40">
            <w:pPr>
              <w:widowControl w:val="0"/>
              <w:jc w:val="both"/>
              <w:rPr>
                <w:rFonts w:hint="default"/>
                <w:vertAlign w:val="baseline"/>
                <w:lang w:val="ru-RU"/>
              </w:rPr>
            </w:pPr>
          </w:p>
        </w:tc>
        <w:tc>
          <w:tcPr>
            <w:tcW w:w="1560" w:type="dxa"/>
          </w:tcPr>
          <w:p w14:paraId="0A7C6A61">
            <w:pPr>
              <w:widowControl w:val="0"/>
              <w:jc w:val="both"/>
              <w:rPr>
                <w:rFonts w:hint="default"/>
                <w:vertAlign w:val="baseline"/>
                <w:lang w:val="ru-RU"/>
              </w:rPr>
            </w:pPr>
          </w:p>
        </w:tc>
        <w:tc>
          <w:tcPr>
            <w:tcW w:w="1680" w:type="dxa"/>
          </w:tcPr>
          <w:p w14:paraId="73A0CBEE">
            <w:pPr>
              <w:widowControl w:val="0"/>
              <w:jc w:val="both"/>
              <w:rPr>
                <w:rFonts w:hint="default"/>
                <w:vertAlign w:val="baseline"/>
                <w:lang w:val="ru-RU"/>
              </w:rPr>
            </w:pPr>
          </w:p>
        </w:tc>
        <w:tc>
          <w:tcPr>
            <w:tcW w:w="1536" w:type="dxa"/>
          </w:tcPr>
          <w:p w14:paraId="38338993">
            <w:pPr>
              <w:widowControl w:val="0"/>
              <w:jc w:val="both"/>
              <w:rPr>
                <w:rFonts w:hint="default"/>
                <w:vertAlign w:val="baseline"/>
                <w:lang w:val="ru-RU"/>
              </w:rPr>
            </w:pPr>
            <w:r>
              <w:rPr>
                <w:rFonts w:hint="default"/>
                <w:vertAlign w:val="baseline"/>
                <w:lang w:val="ru-RU"/>
              </w:rPr>
              <w:t>Провести сверки учёта членов профсоюза</w:t>
            </w:r>
          </w:p>
        </w:tc>
        <w:tc>
          <w:tcPr>
            <w:tcW w:w="1512" w:type="dxa"/>
          </w:tcPr>
          <w:p w14:paraId="318766DF">
            <w:pPr>
              <w:widowControl w:val="0"/>
              <w:jc w:val="both"/>
              <w:rPr>
                <w:rFonts w:hint="default"/>
                <w:vertAlign w:val="baseline"/>
                <w:lang w:val="ru-RU"/>
              </w:rPr>
            </w:pPr>
            <w:r>
              <w:rPr>
                <w:rFonts w:hint="default"/>
                <w:vertAlign w:val="baseline"/>
                <w:lang w:val="ru-RU"/>
              </w:rPr>
              <w:t>Проверить состояние протоколов собраний, заседаний профсоюзного комитета</w:t>
            </w:r>
          </w:p>
        </w:tc>
        <w:tc>
          <w:tcPr>
            <w:tcW w:w="1548" w:type="dxa"/>
          </w:tcPr>
          <w:p w14:paraId="7DB06B19">
            <w:pPr>
              <w:widowControl w:val="0"/>
              <w:jc w:val="both"/>
              <w:rPr>
                <w:rFonts w:hint="default"/>
                <w:vertAlign w:val="baseline"/>
                <w:lang w:val="ru-RU"/>
              </w:rPr>
            </w:pPr>
            <w:r>
              <w:rPr>
                <w:rFonts w:hint="default"/>
                <w:vertAlign w:val="baseline"/>
                <w:lang w:val="ru-RU"/>
              </w:rPr>
              <w:t>Контроль за правильностью оформления финансовых документов</w:t>
            </w:r>
          </w:p>
        </w:tc>
        <w:tc>
          <w:tcPr>
            <w:tcW w:w="1788" w:type="dxa"/>
          </w:tcPr>
          <w:p w14:paraId="6AA6006A">
            <w:pPr>
              <w:widowControl w:val="0"/>
              <w:jc w:val="both"/>
              <w:rPr>
                <w:rFonts w:hint="default"/>
                <w:vertAlign w:val="baseline"/>
                <w:lang w:val="ru-RU"/>
              </w:rPr>
            </w:pPr>
          </w:p>
        </w:tc>
      </w:tr>
      <w:tr w14:paraId="57E33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0CDE59A6">
            <w:pPr>
              <w:widowControl w:val="0"/>
              <w:jc w:val="left"/>
              <w:rPr>
                <w:rFonts w:hint="default"/>
                <w:vertAlign w:val="baseline"/>
                <w:lang w:val="ru-RU"/>
              </w:rPr>
            </w:pPr>
            <w:r>
              <w:rPr>
                <w:rFonts w:hint="default"/>
                <w:vertAlign w:val="baseline"/>
                <w:lang w:val="ru-RU"/>
              </w:rPr>
              <w:t>Комиссия по социальному партнёрству</w:t>
            </w:r>
          </w:p>
        </w:tc>
        <w:tc>
          <w:tcPr>
            <w:tcW w:w="1836" w:type="dxa"/>
          </w:tcPr>
          <w:p w14:paraId="26E18F08">
            <w:pPr>
              <w:widowControl w:val="0"/>
              <w:jc w:val="both"/>
              <w:rPr>
                <w:rFonts w:hint="default"/>
                <w:vertAlign w:val="baseline"/>
                <w:lang w:val="ru-RU"/>
              </w:rPr>
            </w:pPr>
          </w:p>
        </w:tc>
        <w:tc>
          <w:tcPr>
            <w:tcW w:w="1728" w:type="dxa"/>
          </w:tcPr>
          <w:p w14:paraId="3B2F8E1E">
            <w:pPr>
              <w:widowControl w:val="0"/>
              <w:jc w:val="both"/>
              <w:rPr>
                <w:rFonts w:hint="default"/>
                <w:vertAlign w:val="baseline"/>
                <w:lang w:val="ru-RU"/>
              </w:rPr>
            </w:pPr>
          </w:p>
        </w:tc>
        <w:tc>
          <w:tcPr>
            <w:tcW w:w="1536" w:type="dxa"/>
          </w:tcPr>
          <w:p w14:paraId="77FBEB8F">
            <w:pPr>
              <w:widowControl w:val="0"/>
              <w:jc w:val="both"/>
              <w:rPr>
                <w:rFonts w:hint="default"/>
                <w:vertAlign w:val="baseline"/>
                <w:lang w:val="ru-RU"/>
              </w:rPr>
            </w:pPr>
          </w:p>
        </w:tc>
        <w:tc>
          <w:tcPr>
            <w:tcW w:w="1560" w:type="dxa"/>
          </w:tcPr>
          <w:p w14:paraId="3731246F">
            <w:pPr>
              <w:widowControl w:val="0"/>
              <w:jc w:val="both"/>
              <w:rPr>
                <w:rFonts w:hint="default"/>
                <w:vertAlign w:val="baseline"/>
                <w:lang w:val="ru-RU"/>
              </w:rPr>
            </w:pPr>
          </w:p>
        </w:tc>
        <w:tc>
          <w:tcPr>
            <w:tcW w:w="1680" w:type="dxa"/>
            <w:vAlign w:val="top"/>
          </w:tcPr>
          <w:p w14:paraId="76603DD3">
            <w:pPr>
              <w:widowControl w:val="0"/>
              <w:jc w:val="left"/>
              <w:rPr>
                <w:rFonts w:hint="default"/>
                <w:vertAlign w:val="baseline"/>
                <w:lang w:val="ru-RU"/>
              </w:rPr>
            </w:pPr>
            <w:r>
              <w:rPr>
                <w:rFonts w:hint="default"/>
                <w:vertAlign w:val="baseline"/>
                <w:lang w:val="ru-RU"/>
              </w:rPr>
              <w:t>Принять участие в митинге 1 Мая - Дне международной солидарности трудящихся</w:t>
            </w:r>
          </w:p>
        </w:tc>
        <w:tc>
          <w:tcPr>
            <w:tcW w:w="1536" w:type="dxa"/>
            <w:vAlign w:val="top"/>
          </w:tcPr>
          <w:p w14:paraId="41FC9D7C">
            <w:pPr>
              <w:widowControl w:val="0"/>
              <w:jc w:val="both"/>
              <w:rPr>
                <w:rFonts w:hint="default"/>
                <w:vertAlign w:val="baseline"/>
                <w:lang w:val="ru-RU"/>
              </w:rPr>
            </w:pPr>
            <w:r>
              <w:rPr>
                <w:rFonts w:hint="default"/>
                <w:vertAlign w:val="baseline"/>
                <w:lang w:val="ru-RU"/>
              </w:rPr>
              <w:t>Организация и проведение Профсоюзной недели в рамках мероприятий, посвящённых Дню Профсоюзов Республики Татарстан</w:t>
            </w:r>
          </w:p>
        </w:tc>
        <w:tc>
          <w:tcPr>
            <w:tcW w:w="1512" w:type="dxa"/>
          </w:tcPr>
          <w:p w14:paraId="5152B9EE">
            <w:pPr>
              <w:widowControl w:val="0"/>
              <w:jc w:val="both"/>
              <w:rPr>
                <w:rFonts w:hint="default"/>
                <w:vertAlign w:val="baseline"/>
                <w:lang w:val="ru-RU"/>
              </w:rPr>
            </w:pPr>
          </w:p>
        </w:tc>
        <w:tc>
          <w:tcPr>
            <w:tcW w:w="1548" w:type="dxa"/>
          </w:tcPr>
          <w:p w14:paraId="60C7126D">
            <w:pPr>
              <w:widowControl w:val="0"/>
              <w:jc w:val="both"/>
              <w:rPr>
                <w:rFonts w:hint="default"/>
                <w:vertAlign w:val="baseline"/>
                <w:lang w:val="ru-RU"/>
              </w:rPr>
            </w:pPr>
            <w:r>
              <w:rPr>
                <w:rFonts w:hint="default"/>
                <w:vertAlign w:val="baseline"/>
                <w:lang w:val="ru-RU"/>
              </w:rPr>
              <w:t>Отчёт о предоставлении социальных гарантий и льгот работникам МБДОУ, согласно КД за 2025 год</w:t>
            </w:r>
          </w:p>
        </w:tc>
        <w:tc>
          <w:tcPr>
            <w:tcW w:w="1788" w:type="dxa"/>
          </w:tcPr>
          <w:p w14:paraId="6004D2A9">
            <w:pPr>
              <w:widowControl w:val="0"/>
              <w:jc w:val="both"/>
              <w:rPr>
                <w:rFonts w:hint="default"/>
                <w:vertAlign w:val="baseline"/>
                <w:lang w:val="ru-RU"/>
              </w:rPr>
            </w:pPr>
          </w:p>
        </w:tc>
      </w:tr>
      <w:tr w14:paraId="490EF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4BEFB4C3">
            <w:pPr>
              <w:widowControl w:val="0"/>
              <w:jc w:val="left"/>
              <w:rPr>
                <w:rFonts w:hint="default"/>
                <w:vertAlign w:val="baseline"/>
                <w:lang w:val="ru-RU"/>
              </w:rPr>
            </w:pPr>
            <w:r>
              <w:rPr>
                <w:rFonts w:hint="default"/>
                <w:vertAlign w:val="baseline"/>
                <w:lang w:val="ru-RU"/>
              </w:rPr>
              <w:t>Комиссия по защите трудовых и профессиональных интересов членов профсоюза</w:t>
            </w:r>
          </w:p>
        </w:tc>
        <w:tc>
          <w:tcPr>
            <w:tcW w:w="1836" w:type="dxa"/>
          </w:tcPr>
          <w:p w14:paraId="285356D1">
            <w:pPr>
              <w:widowControl w:val="0"/>
              <w:jc w:val="both"/>
              <w:rPr>
                <w:rFonts w:hint="default"/>
                <w:vertAlign w:val="baseline"/>
                <w:lang w:val="ru-RU"/>
              </w:rPr>
            </w:pPr>
          </w:p>
        </w:tc>
        <w:tc>
          <w:tcPr>
            <w:tcW w:w="1728" w:type="dxa"/>
          </w:tcPr>
          <w:p w14:paraId="3321253E">
            <w:pPr>
              <w:widowControl w:val="0"/>
              <w:jc w:val="both"/>
              <w:rPr>
                <w:rFonts w:hint="default"/>
                <w:vertAlign w:val="baseline"/>
                <w:lang w:val="ru-RU"/>
              </w:rPr>
            </w:pPr>
            <w:r>
              <w:rPr>
                <w:rFonts w:hint="default"/>
                <w:vertAlign w:val="baseline"/>
                <w:lang w:val="ru-RU"/>
              </w:rPr>
              <w:t>Участие в работе комиссии по оценке результативности сотрудников ДОУ (анализ оценочных листов)</w:t>
            </w:r>
          </w:p>
        </w:tc>
        <w:tc>
          <w:tcPr>
            <w:tcW w:w="1536" w:type="dxa"/>
          </w:tcPr>
          <w:p w14:paraId="0E55DCF4">
            <w:pPr>
              <w:widowControl w:val="0"/>
              <w:jc w:val="both"/>
              <w:rPr>
                <w:rFonts w:hint="default"/>
                <w:vertAlign w:val="baseline"/>
                <w:lang w:val="ru-RU"/>
              </w:rPr>
            </w:pPr>
          </w:p>
        </w:tc>
        <w:tc>
          <w:tcPr>
            <w:tcW w:w="1560" w:type="dxa"/>
            <w:vAlign w:val="top"/>
          </w:tcPr>
          <w:p w14:paraId="0BFDDD08">
            <w:pPr>
              <w:widowControl w:val="0"/>
              <w:jc w:val="both"/>
              <w:rPr>
                <w:rFonts w:hint="default"/>
                <w:vertAlign w:val="baseline"/>
                <w:lang w:val="ru-RU"/>
              </w:rPr>
            </w:pPr>
            <w:r>
              <w:rPr>
                <w:rFonts w:hint="default"/>
                <w:vertAlign w:val="baseline"/>
                <w:lang w:val="ru-RU"/>
              </w:rPr>
              <w:t>Контроль за соблюдением проведения аттестации педагогических работников</w:t>
            </w:r>
          </w:p>
        </w:tc>
        <w:tc>
          <w:tcPr>
            <w:tcW w:w="1680" w:type="dxa"/>
            <w:shd w:val="clear"/>
            <w:vAlign w:val="top"/>
          </w:tcPr>
          <w:p w14:paraId="1C335AED">
            <w:pPr>
              <w:widowControl w:val="0"/>
              <w:jc w:val="left"/>
              <w:rPr>
                <w:rFonts w:hint="default" w:asciiTheme="minorHAnsi" w:hAnsiTheme="minorHAnsi" w:eastAsiaTheme="minorEastAsia" w:cstheme="minorBidi"/>
                <w:vertAlign w:val="baseline"/>
                <w:lang w:val="ru-RU" w:eastAsia="zh-CN" w:bidi="ar-SA"/>
              </w:rPr>
            </w:pPr>
            <w:r>
              <w:rPr>
                <w:rFonts w:hint="default"/>
                <w:vertAlign w:val="baseline"/>
                <w:lang w:val="ru-RU"/>
              </w:rPr>
              <w:t>Принять участие в митинге 1 Мая - Дне международной солидарности трудящихся</w:t>
            </w:r>
          </w:p>
        </w:tc>
        <w:tc>
          <w:tcPr>
            <w:tcW w:w="1536" w:type="dxa"/>
            <w:shd w:val="clear"/>
            <w:vAlign w:val="top"/>
          </w:tcPr>
          <w:p w14:paraId="20D53C44">
            <w:pPr>
              <w:widowControl w:val="0"/>
              <w:jc w:val="both"/>
              <w:rPr>
                <w:rFonts w:hint="default" w:asciiTheme="minorHAnsi" w:hAnsiTheme="minorHAnsi" w:eastAsiaTheme="minorEastAsia" w:cstheme="minorBidi"/>
                <w:vertAlign w:val="baseline"/>
                <w:lang w:val="ru-RU" w:eastAsia="zh-CN" w:bidi="ar-SA"/>
              </w:rPr>
            </w:pPr>
            <w:r>
              <w:rPr>
                <w:rFonts w:hint="default"/>
                <w:vertAlign w:val="baseline"/>
                <w:lang w:val="ru-RU"/>
              </w:rPr>
              <w:t>Контроль за соблюдением Правил внутреннего трудового распорядка. Участие в работе комиссии по оценке результативности сотрудников ДОУ (анализ оценочных листов)</w:t>
            </w:r>
          </w:p>
        </w:tc>
        <w:tc>
          <w:tcPr>
            <w:tcW w:w="1512" w:type="dxa"/>
          </w:tcPr>
          <w:p w14:paraId="2FBB8146">
            <w:pPr>
              <w:widowControl w:val="0"/>
              <w:jc w:val="both"/>
              <w:rPr>
                <w:rFonts w:hint="default"/>
                <w:vertAlign w:val="baseline"/>
                <w:lang w:val="ru-RU"/>
              </w:rPr>
            </w:pPr>
            <w:r>
              <w:rPr>
                <w:rFonts w:hint="default"/>
                <w:vertAlign w:val="baseline"/>
                <w:lang w:val="ru-RU"/>
              </w:rPr>
              <w:t>Контроль за соблюдением проведения аттестации педагогических работников</w:t>
            </w:r>
          </w:p>
        </w:tc>
        <w:tc>
          <w:tcPr>
            <w:tcW w:w="1548" w:type="dxa"/>
          </w:tcPr>
          <w:p w14:paraId="21C45195">
            <w:pPr>
              <w:widowControl w:val="0"/>
              <w:jc w:val="both"/>
              <w:rPr>
                <w:rFonts w:hint="default"/>
                <w:vertAlign w:val="baseline"/>
                <w:lang w:val="ru-RU"/>
              </w:rPr>
            </w:pPr>
          </w:p>
        </w:tc>
        <w:tc>
          <w:tcPr>
            <w:tcW w:w="1788" w:type="dxa"/>
          </w:tcPr>
          <w:p w14:paraId="6EEB7D9E">
            <w:pPr>
              <w:widowControl w:val="0"/>
              <w:jc w:val="both"/>
              <w:rPr>
                <w:rFonts w:hint="default"/>
                <w:vertAlign w:val="baseline"/>
                <w:lang w:val="ru-RU"/>
              </w:rPr>
            </w:pPr>
          </w:p>
        </w:tc>
      </w:tr>
      <w:tr w14:paraId="6FE0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97" w:type="dxa"/>
            <w:vMerge w:val="restart"/>
          </w:tcPr>
          <w:p w14:paraId="2550E8C6">
            <w:pPr>
              <w:widowControl w:val="0"/>
              <w:jc w:val="left"/>
              <w:rPr>
                <w:rFonts w:hint="default"/>
                <w:vertAlign w:val="baseline"/>
                <w:lang w:val="ru-RU"/>
              </w:rPr>
            </w:pPr>
            <w:r>
              <w:rPr>
                <w:rFonts w:hint="default"/>
                <w:vertAlign w:val="baseline"/>
                <w:lang w:val="ru-RU"/>
              </w:rPr>
              <w:t>Комиссия по культурно массовым и спортивным мероприятиям</w:t>
            </w:r>
          </w:p>
        </w:tc>
        <w:tc>
          <w:tcPr>
            <w:tcW w:w="1836" w:type="dxa"/>
          </w:tcPr>
          <w:p w14:paraId="0601C477">
            <w:pPr>
              <w:widowControl w:val="0"/>
              <w:jc w:val="both"/>
              <w:rPr>
                <w:rFonts w:hint="default"/>
                <w:vertAlign w:val="baseline"/>
                <w:lang w:val="ru-RU"/>
              </w:rPr>
            </w:pPr>
          </w:p>
        </w:tc>
        <w:tc>
          <w:tcPr>
            <w:tcW w:w="1728" w:type="dxa"/>
          </w:tcPr>
          <w:p w14:paraId="1E215ADC">
            <w:pPr>
              <w:widowControl w:val="0"/>
              <w:jc w:val="both"/>
              <w:rPr>
                <w:rFonts w:hint="default"/>
                <w:vertAlign w:val="baseline"/>
                <w:lang w:val="ru-RU"/>
              </w:rPr>
            </w:pPr>
            <w:r>
              <w:rPr>
                <w:rFonts w:hint="default"/>
                <w:vertAlign w:val="baseline"/>
                <w:lang w:val="ru-RU"/>
              </w:rPr>
              <w:t>Участие работников дошкольного учреждения в спортивном мероприятии «Лыжня россии»</w:t>
            </w:r>
          </w:p>
        </w:tc>
        <w:tc>
          <w:tcPr>
            <w:tcW w:w="1536" w:type="dxa"/>
          </w:tcPr>
          <w:p w14:paraId="3C40CF14">
            <w:pPr>
              <w:widowControl w:val="0"/>
              <w:jc w:val="both"/>
              <w:rPr>
                <w:rFonts w:hint="default"/>
                <w:vertAlign w:val="baseline"/>
                <w:lang w:val="ru-RU"/>
              </w:rPr>
            </w:pPr>
            <w:r>
              <w:rPr>
                <w:rFonts w:hint="default"/>
                <w:vertAlign w:val="baseline"/>
                <w:lang w:val="ru-RU"/>
              </w:rPr>
              <w:t>Организация торжественного мероприятия посвящённое Международному женскому дню 8 Марта</w:t>
            </w:r>
          </w:p>
        </w:tc>
        <w:tc>
          <w:tcPr>
            <w:tcW w:w="1560" w:type="dxa"/>
          </w:tcPr>
          <w:p w14:paraId="18EEE101">
            <w:pPr>
              <w:widowControl w:val="0"/>
              <w:jc w:val="both"/>
              <w:rPr>
                <w:rFonts w:hint="default"/>
                <w:vertAlign w:val="baseline"/>
                <w:lang w:val="ru-RU"/>
              </w:rPr>
            </w:pPr>
            <w:r>
              <w:rPr>
                <w:rFonts w:hint="default"/>
                <w:vertAlign w:val="baseline"/>
                <w:lang w:val="ru-RU"/>
              </w:rPr>
              <w:t>Организовать мероприятие для членов профсоюза на тему «Всемирный день охраны труда»</w:t>
            </w:r>
          </w:p>
        </w:tc>
        <w:tc>
          <w:tcPr>
            <w:tcW w:w="1680" w:type="dxa"/>
          </w:tcPr>
          <w:p w14:paraId="444C4874">
            <w:pPr>
              <w:widowControl w:val="0"/>
              <w:jc w:val="both"/>
              <w:rPr>
                <w:rFonts w:hint="default"/>
                <w:vertAlign w:val="baseline"/>
                <w:lang w:val="ru-RU"/>
              </w:rPr>
            </w:pPr>
          </w:p>
        </w:tc>
        <w:tc>
          <w:tcPr>
            <w:tcW w:w="1536" w:type="dxa"/>
          </w:tcPr>
          <w:p w14:paraId="481264E8">
            <w:pPr>
              <w:widowControl w:val="0"/>
              <w:jc w:val="both"/>
              <w:rPr>
                <w:rFonts w:hint="default"/>
                <w:vertAlign w:val="baseline"/>
                <w:lang w:val="ru-RU"/>
              </w:rPr>
            </w:pPr>
            <w:r>
              <w:rPr>
                <w:rFonts w:hint="default"/>
                <w:vertAlign w:val="baseline"/>
                <w:lang w:val="ru-RU"/>
              </w:rPr>
              <w:t>Участие работников дошкольного учреждения в спортивном мероприятии «Всемирный день бега». Организация мероприятия с членами профсоюза в честь Дня дошкольного работника и Дня профсоюзного работника.</w:t>
            </w:r>
          </w:p>
        </w:tc>
        <w:tc>
          <w:tcPr>
            <w:tcW w:w="1512" w:type="dxa"/>
          </w:tcPr>
          <w:p w14:paraId="4607A2B8">
            <w:pPr>
              <w:widowControl w:val="0"/>
              <w:jc w:val="both"/>
              <w:rPr>
                <w:rFonts w:hint="default"/>
                <w:vertAlign w:val="baseline"/>
                <w:lang w:val="ru-RU"/>
              </w:rPr>
            </w:pPr>
            <w:r>
              <w:rPr>
                <w:rFonts w:hint="default"/>
                <w:vertAlign w:val="baseline"/>
                <w:lang w:val="ru-RU"/>
              </w:rPr>
              <w:t>Проведение мероприятия для ветеранов «День пожилого человека»</w:t>
            </w:r>
          </w:p>
        </w:tc>
        <w:tc>
          <w:tcPr>
            <w:tcW w:w="1548" w:type="dxa"/>
          </w:tcPr>
          <w:p w14:paraId="2E69EBFB">
            <w:pPr>
              <w:widowControl w:val="0"/>
              <w:jc w:val="both"/>
              <w:rPr>
                <w:rFonts w:hint="default"/>
                <w:vertAlign w:val="baseline"/>
                <w:lang w:val="ru-RU"/>
              </w:rPr>
            </w:pPr>
          </w:p>
        </w:tc>
        <w:tc>
          <w:tcPr>
            <w:tcW w:w="1788" w:type="dxa"/>
          </w:tcPr>
          <w:p w14:paraId="135AA206">
            <w:pPr>
              <w:widowControl w:val="0"/>
              <w:jc w:val="both"/>
              <w:rPr>
                <w:rFonts w:hint="default"/>
                <w:vertAlign w:val="baseline"/>
                <w:lang w:val="ru-RU"/>
              </w:rPr>
            </w:pPr>
            <w:r>
              <w:rPr>
                <w:rFonts w:hint="default"/>
                <w:vertAlign w:val="baseline"/>
                <w:lang w:val="ru-RU"/>
              </w:rPr>
              <w:t>Организация мероприятия для членов профсоюза к Новому году</w:t>
            </w:r>
          </w:p>
        </w:tc>
      </w:tr>
      <w:tr w14:paraId="773D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05" w:hRule="atLeast"/>
        </w:trPr>
        <w:tc>
          <w:tcPr>
            <w:tcW w:w="1497" w:type="dxa"/>
            <w:vMerge w:val="continue"/>
          </w:tcPr>
          <w:p w14:paraId="050BE1FB">
            <w:pPr>
              <w:widowControl w:val="0"/>
              <w:jc w:val="left"/>
            </w:pPr>
          </w:p>
        </w:tc>
        <w:tc>
          <w:tcPr>
            <w:tcW w:w="14724" w:type="dxa"/>
            <w:gridSpan w:val="9"/>
          </w:tcPr>
          <w:p w14:paraId="15FA7AD7">
            <w:pPr>
              <w:widowControl w:val="0"/>
              <w:jc w:val="both"/>
              <w:rPr>
                <w:rFonts w:hint="default"/>
                <w:vertAlign w:val="baseline"/>
                <w:lang w:val="ru-RU"/>
              </w:rPr>
            </w:pPr>
            <w:r>
              <w:rPr>
                <w:rFonts w:hint="default"/>
                <w:vertAlign w:val="baseline"/>
                <w:lang w:val="ru-RU"/>
              </w:rPr>
              <w:t>Проведение тематических мероприятий Года защитника Отечества и 80-летия Победы в Великой Отечественной Войне.</w:t>
            </w:r>
          </w:p>
        </w:tc>
      </w:tr>
      <w:tr w14:paraId="17D82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7" w:type="dxa"/>
          </w:tcPr>
          <w:p w14:paraId="62D92409">
            <w:pPr>
              <w:widowControl w:val="0"/>
              <w:jc w:val="left"/>
              <w:rPr>
                <w:rFonts w:hint="default"/>
                <w:vertAlign w:val="baseline"/>
                <w:lang w:val="ru-RU"/>
              </w:rPr>
            </w:pPr>
            <w:r>
              <w:rPr>
                <w:rFonts w:hint="default"/>
                <w:vertAlign w:val="baseline"/>
                <w:lang w:val="ru-RU"/>
              </w:rPr>
              <w:t>Уполномоченный по охране труда</w:t>
            </w:r>
          </w:p>
        </w:tc>
        <w:tc>
          <w:tcPr>
            <w:tcW w:w="1836" w:type="dxa"/>
            <w:tcBorders>
              <w:top w:val="single" w:color="auto" w:sz="4" w:space="0"/>
              <w:left w:val="single" w:color="auto" w:sz="4" w:space="0"/>
              <w:bottom w:val="single" w:color="auto" w:sz="4" w:space="0"/>
              <w:right w:val="single" w:color="auto" w:sz="4" w:space="0"/>
            </w:tcBorders>
            <w:vAlign w:val="top"/>
          </w:tcPr>
          <w:p w14:paraId="2D2193FA">
            <w:pPr>
              <w:widowControl w:val="0"/>
              <w:jc w:val="both"/>
              <w:rPr>
                <w:rFonts w:hint="default"/>
                <w:vertAlign w:val="baseline"/>
                <w:lang w:val="ru-RU"/>
              </w:rPr>
            </w:pPr>
            <w:r>
              <w:rPr>
                <w:rFonts w:hint="default"/>
                <w:vertAlign w:val="baseline"/>
                <w:lang w:val="ru-RU"/>
              </w:rPr>
              <w:t>Разработать соглашение по охране труда на 2025 год. Составить план работы на 2025 год</w:t>
            </w:r>
          </w:p>
        </w:tc>
        <w:tc>
          <w:tcPr>
            <w:tcW w:w="1728" w:type="dxa"/>
            <w:tcBorders>
              <w:top w:val="single" w:color="auto" w:sz="4" w:space="0"/>
              <w:left w:val="single" w:color="auto" w:sz="4" w:space="0"/>
              <w:bottom w:val="single" w:color="auto" w:sz="4" w:space="0"/>
              <w:right w:val="single" w:color="auto" w:sz="4" w:space="0"/>
            </w:tcBorders>
            <w:vAlign w:val="top"/>
          </w:tcPr>
          <w:p w14:paraId="3EFA8C02">
            <w:pPr>
              <w:widowControl w:val="0"/>
              <w:jc w:val="both"/>
              <w:rPr>
                <w:rFonts w:hint="default"/>
                <w:vertAlign w:val="baseline"/>
                <w:lang w:val="ru-RU"/>
              </w:rPr>
            </w:pPr>
          </w:p>
        </w:tc>
        <w:tc>
          <w:tcPr>
            <w:tcW w:w="1536" w:type="dxa"/>
            <w:tcBorders>
              <w:top w:val="single" w:color="auto" w:sz="4" w:space="0"/>
              <w:left w:val="single" w:color="auto" w:sz="4" w:space="0"/>
              <w:bottom w:val="single" w:color="auto" w:sz="4" w:space="0"/>
              <w:right w:val="single" w:color="auto" w:sz="4" w:space="0"/>
            </w:tcBorders>
            <w:shd w:val="clear"/>
            <w:vAlign w:val="top"/>
          </w:tcPr>
          <w:p w14:paraId="01EE444F">
            <w:pPr>
              <w:widowControl w:val="0"/>
              <w:jc w:val="both"/>
              <w:rPr>
                <w:rFonts w:hint="default" w:asciiTheme="minorHAnsi" w:hAnsiTheme="minorHAnsi" w:eastAsiaTheme="minorEastAsia" w:cstheme="minorBidi"/>
                <w:vertAlign w:val="baseline"/>
                <w:lang w:val="ru-RU" w:eastAsia="zh-CN" w:bidi="ar-SA"/>
              </w:rPr>
            </w:pPr>
            <w:r>
              <w:rPr>
                <w:rFonts w:hint="default"/>
                <w:vertAlign w:val="baseline"/>
                <w:lang w:val="ru-RU"/>
              </w:rPr>
              <w:t>Участие в обследовании технического состояния здания, кабинетов, групп на соответствие норм и правил охраны труда.</w:t>
            </w:r>
          </w:p>
        </w:tc>
        <w:tc>
          <w:tcPr>
            <w:tcW w:w="1560" w:type="dxa"/>
            <w:tcBorders>
              <w:top w:val="single" w:color="auto" w:sz="4" w:space="0"/>
              <w:left w:val="single" w:color="auto" w:sz="4" w:space="0"/>
              <w:bottom w:val="single" w:color="auto" w:sz="4" w:space="0"/>
              <w:right w:val="single" w:color="auto" w:sz="4" w:space="0"/>
            </w:tcBorders>
            <w:vAlign w:val="top"/>
          </w:tcPr>
          <w:p w14:paraId="3504440A">
            <w:pPr>
              <w:widowControl w:val="0"/>
              <w:jc w:val="both"/>
              <w:rPr>
                <w:rFonts w:hint="default"/>
                <w:vertAlign w:val="baseline"/>
                <w:lang w:val="ru-RU"/>
              </w:rPr>
            </w:pPr>
          </w:p>
        </w:tc>
        <w:tc>
          <w:tcPr>
            <w:tcW w:w="1680" w:type="dxa"/>
            <w:tcBorders>
              <w:top w:val="single" w:color="auto" w:sz="4" w:space="0"/>
              <w:left w:val="single" w:color="auto" w:sz="4" w:space="0"/>
              <w:bottom w:val="single" w:color="auto" w:sz="4" w:space="0"/>
              <w:right w:val="single" w:color="auto" w:sz="4" w:space="0"/>
            </w:tcBorders>
            <w:shd w:val="clear"/>
            <w:vAlign w:val="top"/>
          </w:tcPr>
          <w:p w14:paraId="04C8E7A4">
            <w:pPr>
              <w:widowControl w:val="0"/>
              <w:jc w:val="left"/>
              <w:rPr>
                <w:rFonts w:hint="default" w:asciiTheme="minorHAnsi" w:hAnsiTheme="minorHAnsi" w:eastAsiaTheme="minorEastAsia" w:cstheme="minorBidi"/>
                <w:vertAlign w:val="baseline"/>
                <w:lang w:val="ru-RU" w:eastAsia="zh-CN" w:bidi="ar-SA"/>
              </w:rPr>
            </w:pPr>
            <w:r>
              <w:rPr>
                <w:rFonts w:hint="default"/>
                <w:vertAlign w:val="baseline"/>
                <w:lang w:val="ru-RU"/>
              </w:rPr>
              <w:t>Принять участие в митинге 1 Мая - Дне международной солидарности трудящихся</w:t>
            </w:r>
          </w:p>
        </w:tc>
        <w:tc>
          <w:tcPr>
            <w:tcW w:w="1536" w:type="dxa"/>
            <w:tcBorders>
              <w:top w:val="single" w:color="auto" w:sz="4" w:space="0"/>
              <w:left w:val="single" w:color="auto" w:sz="4" w:space="0"/>
              <w:bottom w:val="single" w:color="auto" w:sz="4" w:space="0"/>
              <w:right w:val="single" w:color="auto" w:sz="4" w:space="0"/>
            </w:tcBorders>
            <w:vAlign w:val="top"/>
          </w:tcPr>
          <w:p w14:paraId="5C528473">
            <w:pPr>
              <w:widowControl w:val="0"/>
              <w:jc w:val="both"/>
              <w:rPr>
                <w:rFonts w:hint="default"/>
                <w:vertAlign w:val="baseline"/>
                <w:lang w:val="ru-RU"/>
              </w:rPr>
            </w:pPr>
          </w:p>
        </w:tc>
        <w:tc>
          <w:tcPr>
            <w:tcW w:w="1512" w:type="dxa"/>
            <w:tcBorders>
              <w:top w:val="single" w:color="auto" w:sz="4" w:space="0"/>
              <w:left w:val="single" w:color="auto" w:sz="4" w:space="0"/>
              <w:bottom w:val="single" w:color="auto" w:sz="4" w:space="0"/>
              <w:right w:val="single" w:color="auto" w:sz="4" w:space="0"/>
            </w:tcBorders>
            <w:vAlign w:val="top"/>
          </w:tcPr>
          <w:p w14:paraId="0580EF94">
            <w:pPr>
              <w:widowControl w:val="0"/>
              <w:jc w:val="both"/>
              <w:rPr>
                <w:rFonts w:hint="default"/>
                <w:vertAlign w:val="baseline"/>
                <w:lang w:val="ru-RU"/>
              </w:rPr>
            </w:pPr>
            <w:r>
              <w:rPr>
                <w:rFonts w:hint="default"/>
                <w:vertAlign w:val="baseline"/>
                <w:lang w:val="ru-RU"/>
              </w:rPr>
              <w:t>Участие в обследовании технического состояния здания, кабинетов, групп на соответствие норм и правил охраны труда.</w:t>
            </w:r>
          </w:p>
        </w:tc>
        <w:tc>
          <w:tcPr>
            <w:tcW w:w="1548" w:type="dxa"/>
            <w:tcBorders>
              <w:top w:val="single" w:color="auto" w:sz="4" w:space="0"/>
              <w:left w:val="single" w:color="auto" w:sz="4" w:space="0"/>
              <w:bottom w:val="single" w:color="auto" w:sz="4" w:space="0"/>
              <w:right w:val="single" w:color="auto" w:sz="4" w:space="0"/>
            </w:tcBorders>
            <w:vAlign w:val="top"/>
          </w:tcPr>
          <w:p w14:paraId="4C00DECA">
            <w:pPr>
              <w:widowControl w:val="0"/>
              <w:jc w:val="both"/>
              <w:rPr>
                <w:rFonts w:hint="default"/>
                <w:vertAlign w:val="baseline"/>
                <w:lang w:val="ru-RU"/>
              </w:rPr>
            </w:pPr>
          </w:p>
        </w:tc>
        <w:tc>
          <w:tcPr>
            <w:tcW w:w="1788" w:type="dxa"/>
            <w:tcBorders>
              <w:top w:val="single" w:color="auto" w:sz="4" w:space="0"/>
              <w:left w:val="single" w:color="auto" w:sz="4" w:space="0"/>
              <w:bottom w:val="single" w:color="auto" w:sz="4" w:space="0"/>
              <w:right w:val="single" w:color="auto" w:sz="4" w:space="0"/>
            </w:tcBorders>
            <w:vAlign w:val="top"/>
          </w:tcPr>
          <w:p w14:paraId="3BDA15AA">
            <w:pPr>
              <w:widowControl w:val="0"/>
              <w:jc w:val="both"/>
              <w:rPr>
                <w:rFonts w:hint="default"/>
                <w:vertAlign w:val="baseline"/>
                <w:lang w:val="ru-RU"/>
              </w:rPr>
            </w:pPr>
            <w:r>
              <w:rPr>
                <w:rFonts w:hint="default"/>
                <w:vertAlign w:val="baseline"/>
                <w:lang w:val="ru-RU"/>
              </w:rPr>
              <w:t>Отчёт о работе за 2025 год</w:t>
            </w:r>
          </w:p>
        </w:tc>
      </w:tr>
      <w:tr w14:paraId="4D65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497" w:type="dxa"/>
          </w:tcPr>
          <w:p w14:paraId="2957F2FB">
            <w:pPr>
              <w:widowControl w:val="0"/>
              <w:jc w:val="left"/>
              <w:rPr>
                <w:rFonts w:hint="default"/>
                <w:vertAlign w:val="baseline"/>
                <w:lang w:val="ru-RU"/>
              </w:rPr>
            </w:pPr>
            <w:r>
              <w:rPr>
                <w:rFonts w:hint="default"/>
                <w:vertAlign w:val="baseline"/>
                <w:lang w:val="ru-RU"/>
              </w:rPr>
              <w:t>Ответственный за информационную работу</w:t>
            </w:r>
          </w:p>
        </w:tc>
        <w:tc>
          <w:tcPr>
            <w:tcW w:w="14724" w:type="dxa"/>
            <w:gridSpan w:val="9"/>
            <w:tcBorders>
              <w:top w:val="single" w:color="auto" w:sz="4" w:space="0"/>
              <w:left w:val="single" w:color="auto" w:sz="4" w:space="0"/>
              <w:bottom w:val="single" w:color="auto" w:sz="4" w:space="0"/>
              <w:right w:val="single" w:color="auto" w:sz="4" w:space="0"/>
            </w:tcBorders>
            <w:vAlign w:val="top"/>
          </w:tcPr>
          <w:p w14:paraId="38126271">
            <w:pPr>
              <w:widowControl w:val="0"/>
              <w:jc w:val="both"/>
              <w:rPr>
                <w:rFonts w:hint="default"/>
                <w:vertAlign w:val="baseline"/>
                <w:lang w:val="ru-RU"/>
              </w:rPr>
            </w:pPr>
            <w:r>
              <w:rPr>
                <w:rFonts w:hint="default"/>
                <w:vertAlign w:val="baseline"/>
                <w:lang w:val="ru-RU"/>
              </w:rPr>
              <w:t>Информирование членов профсоюза о результатах работы ЦС, Рескома профсоюза, Профсоюзной организации работников дошкольных учреждений АМР по защите интересов работников, о позиции профсоюзов по конкретным проблемам через электронные информационные бюллетени Рескома, газету «Мой профсоюз», территориальную газету «Профсоюзный вестник», сайт Республиканской профсоюзной организации, сайт территориальной профсоюзной организации, первичной профсоюзной организации ДОУ, информационное наполнение сайта ДОУ, работа в программе «1С тонкий клиент»</w:t>
            </w:r>
          </w:p>
        </w:tc>
      </w:tr>
    </w:tbl>
    <w:p w14:paraId="01ADC4FA">
      <w:pPr>
        <w:jc w:val="both"/>
        <w:rPr>
          <w:rFonts w:hint="default"/>
          <w:lang w:val="ru-RU"/>
        </w:rPr>
      </w:pPr>
      <w:r>
        <w:rPr>
          <w:rFonts w:hint="default"/>
          <w:lang w:val="ru-RU"/>
        </w:rPr>
        <w:t xml:space="preserve"> </w:t>
      </w:r>
    </w:p>
    <w:sectPr>
      <w:pgSz w:w="16838" w:h="11906" w:orient="landscape"/>
      <w:pgMar w:top="600" w:right="598" w:bottom="506" w:left="6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7207EB"/>
    <w:rsid w:val="74C32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48</TotalTime>
  <ScaleCrop>false</ScaleCrop>
  <LinksUpToDate>false</LinksUpToDate>
  <CharactersWithSpaces>0</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2025-03-04T09:54:00Z</dcterms:created>
  <dc:creator>1</dc:creator>
  <cp:lastModifiedBy>1</cp:lastModifiedBy>
  <dcterms:modified xsi:type="dcterms:W3CDTF">2025-03-04T11:22:40Z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1049-12.2.0.19805</vt:lpwstr>
  </property>
  <property fmtid="{D5CDD505-2E9C-101B-9397-08002B2CF9AE}" pid="3" name="ICV">
    <vt:lpwstr>6974734E7D3845BFACEE9D790AC2FA66_12</vt:lpwstr>
  </property>
</Properties>
</file>